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F9" w:rsidRDefault="00495263">
      <w:r>
        <w:t>Chapter 14 lesson 3 Notes: The Other Side of American Life</w:t>
      </w:r>
    </w:p>
    <w:p w:rsidR="00495263" w:rsidRDefault="00495263" w:rsidP="00495263">
      <w:pPr>
        <w:pStyle w:val="ListParagraph"/>
        <w:numPr>
          <w:ilvl w:val="0"/>
          <w:numId w:val="2"/>
        </w:numPr>
      </w:pPr>
      <w:r>
        <w:t>Poverty Amid Prosperity</w:t>
      </w:r>
    </w:p>
    <w:p w:rsidR="00495263" w:rsidRDefault="00495263" w:rsidP="00495263">
      <w:pPr>
        <w:pStyle w:val="ListParagraph"/>
        <w:numPr>
          <w:ilvl w:val="0"/>
          <w:numId w:val="3"/>
        </w:numPr>
      </w:pPr>
      <w:r>
        <w:t>The Decline of the Inner City</w:t>
      </w:r>
    </w:p>
    <w:p w:rsidR="00495263" w:rsidRDefault="00495263" w:rsidP="00495263">
      <w:pPr>
        <w:pStyle w:val="ListParagraph"/>
        <w:numPr>
          <w:ilvl w:val="0"/>
          <w:numId w:val="4"/>
        </w:numPr>
      </w:pPr>
      <w:r>
        <w:t>A</w:t>
      </w:r>
      <w:r>
        <w:t xml:space="preserve">t least one in five Americans—about 30 million people—lived below the </w:t>
      </w:r>
      <w:r>
        <w:rPr>
          <w:b/>
          <w:shd w:val="clear" w:color="auto" w:fill="E9E8E7"/>
        </w:rPr>
        <w:t>poverty line</w:t>
      </w:r>
      <w:r>
        <w:t xml:space="preserve">. This is a number the government sets to show the minimum </w:t>
      </w:r>
      <w:r>
        <w:rPr>
          <w:b/>
        </w:rPr>
        <w:t>income</w:t>
      </w:r>
      <w:r>
        <w:t xml:space="preserve"> needed to support a family.</w:t>
      </w:r>
    </w:p>
    <w:p w:rsidR="00495263" w:rsidRDefault="00495263" w:rsidP="00495263">
      <w:pPr>
        <w:pStyle w:val="ListParagraph"/>
        <w:numPr>
          <w:ilvl w:val="0"/>
          <w:numId w:val="4"/>
        </w:numPr>
      </w:pPr>
      <w:r>
        <w:t>The poor included</w:t>
      </w:r>
      <w:r>
        <w:t>:</w:t>
      </w:r>
      <w:r>
        <w:t xml:space="preserve"> single mothers</w:t>
      </w:r>
      <w:r>
        <w:t xml:space="preserve">, </w:t>
      </w:r>
      <w:r>
        <w:t>the elderly</w:t>
      </w:r>
      <w:r>
        <w:t>, minorities (including African American, Latino and Native Americans), inner-city residents living in slums and rural Americans</w:t>
      </w:r>
      <w:r>
        <w:t>.</w:t>
      </w:r>
    </w:p>
    <w:p w:rsidR="00495263" w:rsidRDefault="00495263" w:rsidP="00495263">
      <w:pPr>
        <w:pStyle w:val="ListParagraph"/>
        <w:numPr>
          <w:ilvl w:val="0"/>
          <w:numId w:val="4"/>
        </w:numPr>
      </w:pPr>
      <w:r>
        <w:t>Poverty was most visible in the urban centers.</w:t>
      </w:r>
    </w:p>
    <w:p w:rsidR="00495263" w:rsidRDefault="0046648D" w:rsidP="00495263">
      <w:pPr>
        <w:pStyle w:val="ListParagraph"/>
        <w:numPr>
          <w:ilvl w:val="0"/>
          <w:numId w:val="4"/>
        </w:numPr>
      </w:pPr>
      <w:r>
        <w:t xml:space="preserve">Middle-class residents who moved took their tax dollars with </w:t>
      </w:r>
      <w:r>
        <w:t>them to the suburbs.</w:t>
      </w:r>
    </w:p>
    <w:p w:rsidR="0046648D" w:rsidRDefault="0046648D" w:rsidP="00495263">
      <w:pPr>
        <w:pStyle w:val="ListParagraph"/>
        <w:numPr>
          <w:ilvl w:val="0"/>
          <w:numId w:val="4"/>
        </w:numPr>
      </w:pPr>
      <w:r>
        <w:t>Cities could no longer provide enough public transportation, housing, and other services.</w:t>
      </w:r>
    </w:p>
    <w:p w:rsidR="0046648D" w:rsidRDefault="0046648D" w:rsidP="00495263">
      <w:pPr>
        <w:pStyle w:val="ListParagraph"/>
        <w:numPr>
          <w:ilvl w:val="0"/>
          <w:numId w:val="4"/>
        </w:numPr>
      </w:pPr>
      <w:r>
        <w:rPr>
          <w:b/>
          <w:shd w:val="clear" w:color="auto" w:fill="E9E8E7"/>
        </w:rPr>
        <w:t>Urban renewal</w:t>
      </w:r>
      <w:r>
        <w:t xml:space="preserve"> programs tried to stop poverty by tearing down slums and building new high-rises for poor residents. However, these crowded new buildings were frequently sites of violence.</w:t>
      </w:r>
    </w:p>
    <w:p w:rsidR="0046648D" w:rsidRDefault="0046648D" w:rsidP="0046648D">
      <w:pPr>
        <w:pStyle w:val="ListParagraph"/>
        <w:numPr>
          <w:ilvl w:val="0"/>
          <w:numId w:val="4"/>
        </w:numPr>
        <w:spacing w:after="5"/>
        <w:ind w:right="5"/>
      </w:pPr>
      <w:r>
        <w:t>Also, the government evicted any tenants of public housing who started to earn more money.</w:t>
      </w:r>
    </w:p>
    <w:p w:rsidR="00495263" w:rsidRDefault="00495263" w:rsidP="00495263">
      <w:pPr>
        <w:pStyle w:val="ListParagraph"/>
        <w:numPr>
          <w:ilvl w:val="0"/>
          <w:numId w:val="3"/>
        </w:numPr>
      </w:pPr>
      <w:r>
        <w:t>African Americans</w:t>
      </w:r>
    </w:p>
    <w:p w:rsidR="0046648D" w:rsidRDefault="0046648D" w:rsidP="0046648D">
      <w:pPr>
        <w:pStyle w:val="ListParagraph"/>
        <w:numPr>
          <w:ilvl w:val="0"/>
          <w:numId w:val="5"/>
        </w:numPr>
      </w:pPr>
      <w:r>
        <w:t>More than 3 million African Americans had moved from the South to Northern cities. Racial discrimination kept many of them poor.</w:t>
      </w:r>
    </w:p>
    <w:p w:rsidR="0046648D" w:rsidRDefault="0046648D" w:rsidP="0046648D">
      <w:pPr>
        <w:pStyle w:val="ListParagraph"/>
        <w:numPr>
          <w:ilvl w:val="0"/>
          <w:numId w:val="5"/>
        </w:numPr>
      </w:pPr>
      <w:r>
        <w:t>In 1958 African Americans’ salaries, on average, were only 51 percent of what whites earned.</w:t>
      </w:r>
    </w:p>
    <w:p w:rsidR="00495263" w:rsidRDefault="00495263" w:rsidP="00495263">
      <w:pPr>
        <w:pStyle w:val="ListParagraph"/>
        <w:numPr>
          <w:ilvl w:val="0"/>
          <w:numId w:val="3"/>
        </w:numPr>
      </w:pPr>
      <w:r>
        <w:t>Hispanics</w:t>
      </w:r>
    </w:p>
    <w:p w:rsidR="0046648D" w:rsidRDefault="0046648D" w:rsidP="0046648D">
      <w:pPr>
        <w:pStyle w:val="ListParagraph"/>
        <w:numPr>
          <w:ilvl w:val="0"/>
          <w:numId w:val="6"/>
        </w:numPr>
      </w:pPr>
      <w:r>
        <w:t>About 5 million Mexicans had come to the United States through the Bracero Program to work on farms and ranches in the Southwest.</w:t>
      </w:r>
    </w:p>
    <w:p w:rsidR="0046648D" w:rsidRDefault="0046648D" w:rsidP="0046648D">
      <w:pPr>
        <w:pStyle w:val="ListParagraph"/>
        <w:numPr>
          <w:ilvl w:val="0"/>
          <w:numId w:val="6"/>
        </w:numPr>
      </w:pPr>
      <w:r>
        <w:t>These migrant workers worked long hours for little pay in conditions that were often terrible.</w:t>
      </w:r>
    </w:p>
    <w:p w:rsidR="0046648D" w:rsidRDefault="0046648D" w:rsidP="0046648D">
      <w:pPr>
        <w:pStyle w:val="ListParagraph"/>
        <w:numPr>
          <w:ilvl w:val="0"/>
          <w:numId w:val="6"/>
        </w:numPr>
        <w:spacing w:after="291"/>
        <w:ind w:right="5"/>
      </w:pPr>
      <w:r>
        <w:t>Many of the braceros later returned home. However, about 350,000 stayed in the United States.</w:t>
      </w:r>
    </w:p>
    <w:p w:rsidR="00495263" w:rsidRDefault="00495263" w:rsidP="00495263">
      <w:pPr>
        <w:pStyle w:val="ListParagraph"/>
        <w:numPr>
          <w:ilvl w:val="0"/>
          <w:numId w:val="3"/>
        </w:numPr>
      </w:pPr>
      <w:r>
        <w:t>Native Americans</w:t>
      </w:r>
    </w:p>
    <w:p w:rsidR="0046648D" w:rsidRDefault="0046648D" w:rsidP="0046648D">
      <w:pPr>
        <w:pStyle w:val="ListParagraph"/>
        <w:numPr>
          <w:ilvl w:val="0"/>
          <w:numId w:val="7"/>
        </w:numPr>
      </w:pPr>
      <w:r>
        <w:t>Native Americans were the poorest ethnic group in the nation by the middle of the 1900s.</w:t>
      </w:r>
    </w:p>
    <w:p w:rsidR="0046648D" w:rsidRDefault="0046648D" w:rsidP="0046648D">
      <w:pPr>
        <w:pStyle w:val="ListParagraph"/>
        <w:numPr>
          <w:ilvl w:val="0"/>
          <w:numId w:val="7"/>
        </w:numPr>
      </w:pPr>
      <w:r>
        <w:t>The U.S. government started a program to bring Native Americans into mainstream society after World War II. This plan became known as the termination</w:t>
      </w:r>
      <w:r>
        <w:rPr>
          <w:b/>
          <w:shd w:val="clear" w:color="auto" w:fill="E9E8E7"/>
        </w:rPr>
        <w:t xml:space="preserve"> policy</w:t>
      </w:r>
      <w:r>
        <w:t>.</w:t>
      </w:r>
    </w:p>
    <w:p w:rsidR="0046648D" w:rsidRDefault="0046648D" w:rsidP="0046648D">
      <w:pPr>
        <w:pStyle w:val="ListParagraph"/>
        <w:numPr>
          <w:ilvl w:val="0"/>
          <w:numId w:val="7"/>
        </w:numPr>
      </w:pPr>
      <w:r>
        <w:t>Native American groups were encouraged to move to crowded living conditions in cities.</w:t>
      </w:r>
    </w:p>
    <w:p w:rsidR="0046648D" w:rsidRDefault="0046648D" w:rsidP="0046648D">
      <w:pPr>
        <w:pStyle w:val="ListParagraph"/>
        <w:numPr>
          <w:ilvl w:val="0"/>
          <w:numId w:val="7"/>
        </w:numPr>
      </w:pPr>
      <w:r>
        <w:t>People in Minneapolis</w:t>
      </w:r>
      <w:r>
        <w:t>, during the 1950’s,</w:t>
      </w:r>
      <w:r>
        <w:t xml:space="preserve"> were expected to live to age 68. However, Native Americans in the city were only expected to live to 37</w:t>
      </w:r>
      <w:r>
        <w:t xml:space="preserve"> due to the living conditions</w:t>
      </w:r>
      <w:r>
        <w:t>.</w:t>
      </w:r>
    </w:p>
    <w:p w:rsidR="00495263" w:rsidRDefault="00495263" w:rsidP="00495263">
      <w:pPr>
        <w:pStyle w:val="ListParagraph"/>
        <w:numPr>
          <w:ilvl w:val="0"/>
          <w:numId w:val="3"/>
        </w:numPr>
      </w:pPr>
      <w:r>
        <w:t>Appalachia</w:t>
      </w:r>
    </w:p>
    <w:p w:rsidR="008F45C2" w:rsidRDefault="008F45C2" w:rsidP="0046648D">
      <w:pPr>
        <w:pStyle w:val="ListParagraph"/>
        <w:numPr>
          <w:ilvl w:val="0"/>
          <w:numId w:val="8"/>
        </w:numPr>
      </w:pPr>
      <w:r>
        <w:t xml:space="preserve">The mountainous region of Appalachia stretches from New York to Georgia. When coal mining mechanized in the 1950s, unemployment rose. </w:t>
      </w:r>
    </w:p>
    <w:p w:rsidR="008F45C2" w:rsidRDefault="008F45C2" w:rsidP="0046648D">
      <w:pPr>
        <w:pStyle w:val="ListParagraph"/>
        <w:numPr>
          <w:ilvl w:val="0"/>
          <w:numId w:val="8"/>
        </w:numPr>
      </w:pPr>
      <w:r>
        <w:t xml:space="preserve">About 1.5 million people left Appalachia to look for a better life in the cities.  </w:t>
      </w:r>
    </w:p>
    <w:p w:rsidR="00495263" w:rsidRDefault="00495263" w:rsidP="00495263">
      <w:pPr>
        <w:pStyle w:val="ListParagraph"/>
        <w:numPr>
          <w:ilvl w:val="0"/>
          <w:numId w:val="2"/>
        </w:numPr>
      </w:pPr>
      <w:r>
        <w:lastRenderedPageBreak/>
        <w:t>Juvenile Delinquency</w:t>
      </w:r>
    </w:p>
    <w:p w:rsidR="008F45C2" w:rsidRDefault="008F45C2" w:rsidP="008F45C2">
      <w:pPr>
        <w:pStyle w:val="ListParagraph"/>
        <w:numPr>
          <w:ilvl w:val="0"/>
          <w:numId w:val="9"/>
        </w:numPr>
      </w:pPr>
      <w:r>
        <w:t>Factors for the rise in juvenile delinquency</w:t>
      </w:r>
    </w:p>
    <w:p w:rsidR="008F45C2" w:rsidRDefault="008F45C2" w:rsidP="008F45C2">
      <w:pPr>
        <w:pStyle w:val="ListParagraph"/>
        <w:numPr>
          <w:ilvl w:val="0"/>
          <w:numId w:val="10"/>
        </w:numPr>
        <w:ind w:right="5"/>
      </w:pPr>
      <w:r>
        <w:t>Juvenile delinquency is disruptive, harmful, or illegal behavior of young people. The United States saw a 45 percent rise in juvenile crime rates between 1948 and 1953.</w:t>
      </w:r>
    </w:p>
    <w:p w:rsidR="008F45C2" w:rsidRDefault="008F45C2" w:rsidP="008F45C2">
      <w:pPr>
        <w:pStyle w:val="ListParagraph"/>
        <w:numPr>
          <w:ilvl w:val="0"/>
          <w:numId w:val="10"/>
        </w:numPr>
      </w:pPr>
      <w:r>
        <w:t>Experts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BC05D" wp14:editId="666F4F07">
                <wp:simplePos x="0" y="0"/>
                <wp:positionH relativeFrom="page">
                  <wp:posOffset>7107339</wp:posOffset>
                </wp:positionH>
                <wp:positionV relativeFrom="page">
                  <wp:posOffset>4915512</wp:posOffset>
                </wp:positionV>
                <wp:extent cx="87020" cy="3259150"/>
                <wp:effectExtent l="0" t="0" r="0" b="0"/>
                <wp:wrapSquare wrapText="bothSides"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" cy="3259150"/>
                          <a:chOff x="0" y="0"/>
                          <a:chExt cx="87020" cy="3259150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 rot="5399999">
                            <a:off x="-2138183" y="2109466"/>
                            <a:ext cx="4334671" cy="11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5C2" w:rsidRDefault="008F45C2" w:rsidP="008F45C2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Copyright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McGraw-Hill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Companies,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Inc.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Permission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granted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reproduce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classroom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6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2"/>
                                </w:rPr>
                                <w:t>use.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BC05D" id="Group 1890" o:spid="_x0000_s1026" style="position:absolute;left:0;text-align:left;margin-left:559.65pt;margin-top:387.05pt;width:6.85pt;height:256.65pt;z-index:251659264;mso-position-horizontal-relative:page;mso-position-vertical-relative:page" coordsize="870,3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">
                <v:rect id="Rectangle 185" o:spid="_x0000_s1027" style="position:absolute;left:-21381;top:21094;width:43346;height:115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6osEA&#10;AADcAAAADwAAAGRycy9kb3ducmV2LnhtbERPzWqDQBC+F/oOyxR6a9YWGsRkE0JECPRga3yAwZ26&#10;VndW3K0xb58tBHqbj+93tvvFDmKmyXeOFbyuEhDEjdMdtwrqc/GSgvABWePgmBRcycN+9/iwxUy7&#10;C3/RXIVWxBD2GSowIYyZlL4xZNGv3EgcuW83WQwRTq3UE15iuB3kW5KspcWOY4PBkY6Gmr76tQrK&#10;vjT53BV1+/PhNX2WLi/CSannp+WwARFoCf/iu/uk4/z0Hf6eiR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+qLBAAAA3AAAAA8AAAAAAAAAAAAAAAAAmAIAAGRycy9kb3du&#10;cmV2LnhtbFBLBQYAAAAABAAEAPUAAACGAwAAAAA=&#10;" filled="f" stroked="f">
                  <v:textbox inset="0,0,0,0">
                    <w:txbxContent>
                      <w:p w:rsidR="008F45C2" w:rsidRDefault="008F45C2" w:rsidP="008F45C2"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Copyright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McGraw-Hill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Companies,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Inc.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Permission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granted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reproduce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classroom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</w:rPr>
                          <w:t>use.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blamed television, movies, comic books, racism, busy parents, a rising divorce rate, lack of religion, and anxiety over the military draft.</w:t>
      </w:r>
    </w:p>
    <w:p w:rsidR="008F45C2" w:rsidRDefault="008F45C2" w:rsidP="008F45C2">
      <w:pPr>
        <w:pStyle w:val="ListParagraph"/>
        <w:numPr>
          <w:ilvl w:val="0"/>
          <w:numId w:val="10"/>
        </w:numPr>
      </w:pPr>
      <w:r>
        <w:t>Others said parents’ failure to discipline their children caused youth crime. Bishop Fulton J. Sheen complained that modern parents did not give their children enough direction.</w:t>
      </w:r>
    </w:p>
    <w:p w:rsidR="008F45C2" w:rsidRDefault="008F45C2" w:rsidP="008F45C2">
      <w:pPr>
        <w:pStyle w:val="ListParagraph"/>
        <w:numPr>
          <w:ilvl w:val="0"/>
          <w:numId w:val="10"/>
        </w:numPr>
      </w:pPr>
      <w:r>
        <w:t>Others blamed teen violence on poverty.</w:t>
      </w:r>
    </w:p>
    <w:p w:rsidR="008F45C2" w:rsidRDefault="008F45C2" w:rsidP="008F45C2">
      <w:pPr>
        <w:pStyle w:val="ListParagraph"/>
        <w:numPr>
          <w:ilvl w:val="0"/>
          <w:numId w:val="10"/>
        </w:numPr>
      </w:pPr>
      <w:r>
        <w:t>Many parents focused on the schools as a possible solution.</w:t>
      </w:r>
    </w:p>
    <w:p w:rsidR="008C4F92" w:rsidRDefault="008C4F92" w:rsidP="008F45C2">
      <w:pPr>
        <w:pStyle w:val="ListParagraph"/>
        <w:numPr>
          <w:ilvl w:val="0"/>
          <w:numId w:val="10"/>
        </w:numPr>
      </w:pPr>
      <w:r>
        <w:t>Enrollments increased by 13 million, and school districts had a hard time paying for new buildings and hiring more teachers.</w:t>
      </w:r>
    </w:p>
    <w:p w:rsidR="008C4F92" w:rsidRDefault="008C4F92" w:rsidP="008F45C2">
      <w:pPr>
        <w:pStyle w:val="ListParagraph"/>
        <w:numPr>
          <w:ilvl w:val="0"/>
          <w:numId w:val="10"/>
        </w:numPr>
      </w:pPr>
      <w:r>
        <w:t>Many Americans felt that the nation had fallen behind its Cold War enemy. They blamed this on a lack of technical education.</w:t>
      </w:r>
    </w:p>
    <w:p w:rsidR="008C4F92" w:rsidRDefault="008C4F92" w:rsidP="008F45C2">
      <w:pPr>
        <w:pStyle w:val="ListParagraph"/>
        <w:numPr>
          <w:ilvl w:val="0"/>
          <w:numId w:val="10"/>
        </w:numPr>
      </w:pPr>
      <w:r>
        <w:t>The United States began to improve math and science education.</w:t>
      </w:r>
      <w:bookmarkStart w:id="0" w:name="_GoBack"/>
      <w:bookmarkEnd w:id="0"/>
    </w:p>
    <w:sectPr w:rsidR="008C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E5"/>
    <w:multiLevelType w:val="hybridMultilevel"/>
    <w:tmpl w:val="B3183540"/>
    <w:lvl w:ilvl="0" w:tplc="B3F44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F5404"/>
    <w:multiLevelType w:val="hybridMultilevel"/>
    <w:tmpl w:val="1C88D71C"/>
    <w:lvl w:ilvl="0" w:tplc="D2604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2525EC"/>
    <w:multiLevelType w:val="hybridMultilevel"/>
    <w:tmpl w:val="4F28062E"/>
    <w:lvl w:ilvl="0" w:tplc="E82EC3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D1DC8"/>
    <w:multiLevelType w:val="hybridMultilevel"/>
    <w:tmpl w:val="4CB8C310"/>
    <w:lvl w:ilvl="0" w:tplc="B3F44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5A221B"/>
    <w:multiLevelType w:val="hybridMultilevel"/>
    <w:tmpl w:val="63C273C6"/>
    <w:lvl w:ilvl="0" w:tplc="F912B3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904EC"/>
    <w:multiLevelType w:val="hybridMultilevel"/>
    <w:tmpl w:val="24E27706"/>
    <w:lvl w:ilvl="0" w:tplc="1A20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5D0"/>
    <w:multiLevelType w:val="hybridMultilevel"/>
    <w:tmpl w:val="5614D17E"/>
    <w:lvl w:ilvl="0" w:tplc="E8189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8328C6"/>
    <w:multiLevelType w:val="hybridMultilevel"/>
    <w:tmpl w:val="93A48F16"/>
    <w:lvl w:ilvl="0" w:tplc="B3F44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833406"/>
    <w:multiLevelType w:val="hybridMultilevel"/>
    <w:tmpl w:val="DFCE97B4"/>
    <w:lvl w:ilvl="0" w:tplc="5DCCB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586F5F"/>
    <w:multiLevelType w:val="hybridMultilevel"/>
    <w:tmpl w:val="09567E60"/>
    <w:lvl w:ilvl="0" w:tplc="295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3"/>
    <w:rsid w:val="0046648D"/>
    <w:rsid w:val="00495263"/>
    <w:rsid w:val="007E380E"/>
    <w:rsid w:val="008C4F92"/>
    <w:rsid w:val="008F45C2"/>
    <w:rsid w:val="00D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4B9A-B4BA-4855-BA91-19A63D47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1</cp:revision>
  <dcterms:created xsi:type="dcterms:W3CDTF">2017-04-04T16:15:00Z</dcterms:created>
  <dcterms:modified xsi:type="dcterms:W3CDTF">2017-04-04T16:48:00Z</dcterms:modified>
</cp:coreProperties>
</file>